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40" w:lineRule="auto" w:before="870" w:after="0"/>
        <w:ind w:left="0" w:right="0" w:firstLine="0"/>
        <w:jc w:val="center"/>
      </w:pPr>
      <w:r>
        <w:drawing>
          <wp:inline xmlns:a="http://schemas.openxmlformats.org/drawingml/2006/main" xmlns:pic="http://schemas.openxmlformats.org/drawingml/2006/picture">
            <wp:extent cx="1239520" cy="123825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2382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autoSpaceDN w:val="0"/>
        <w:autoSpaceDE w:val="0"/>
        <w:widowControl/>
        <w:spacing w:line="245" w:lineRule="auto" w:before="112" w:after="0"/>
        <w:ind w:left="1440" w:right="1296" w:firstLine="0"/>
        <w:jc w:val="center"/>
      </w:pPr>
      <w:r>
        <w:rPr>
          <w:rFonts w:ascii="Source Sans Pro" w:hAnsi="Source Sans Pro" w:eastAsia="Source Sans Pro"/>
          <w:b/>
          <w:i w:val="0"/>
          <w:color w:val="000000"/>
          <w:sz w:val="39"/>
        </w:rPr>
        <w:t xml:space="preserve">Matthew Comer A-CSM® A-CSPO® SAFe® Agilist SA CSM® </w:t>
      </w:r>
      <w:r>
        <w:rPr>
          <w:rFonts w:ascii="Source Sans Pro" w:hAnsi="Source Sans Pro" w:eastAsia="Source Sans Pro"/>
          <w:b/>
          <w:i w:val="0"/>
          <w:color w:val="000000"/>
          <w:sz w:val="39"/>
        </w:rPr>
        <w:t>CSPO®</w:t>
      </w:r>
    </w:p>
    <w:p>
      <w:pPr>
        <w:autoSpaceDN w:val="0"/>
        <w:autoSpaceDE w:val="0"/>
        <w:widowControl/>
        <w:spacing w:line="240" w:lineRule="auto" w:before="42" w:after="150"/>
        <w:ind w:left="0" w:right="0" w:firstLine="0"/>
        <w:jc w:val="center"/>
      </w:pPr>
      <w:r>
        <w:rPr>
          <w:w w:val="98.75806377780053"/>
          <w:rFonts w:ascii="Source Sans Pro" w:hAnsi="Source Sans Pro" w:eastAsia="Source Sans Pro"/>
          <w:b w:val="0"/>
          <w:i w:val="0"/>
          <w:color w:val="000000"/>
          <w:sz w:val="31"/>
        </w:rPr>
        <w:t>Advanced Scrum Master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740.0" w:type="dxa"/>
      </w:tblPr>
      <w:tblGrid>
        <w:gridCol w:w="1360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>
        <w:trPr>
          <w:trHeight w:hRule="exact" w:val="432"/>
        </w:trPr>
        <w:tc>
          <w:tcPr>
            <w:tcW w:type="dxa" w:w="100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32" w:after="0"/>
              <w:ind w:left="0" w:right="2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39700" cy="114300"/>
                  <wp:docPr id="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143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040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0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11" w:history="1">
                <w:r>
                  <w:rPr>
                    <w:rStyle w:val="Hyperlink"/>
                  </w:rPr>
                  <w:t>emailme@matthewcomer.com</w:t>
                </w:r>
              </w:hyperlink>
            </w:r>
          </w:p>
        </w:tc>
        <w:tc>
          <w:tcPr>
            <w:tcW w:type="dxa" w:w="40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12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139700" cy="139700"/>
                  <wp:docPr id="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380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0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13" w:history="1">
                <w:r>
                  <w:rPr>
                    <w:rStyle w:val="Hyperlink"/>
                  </w:rPr>
                  <w:t>512.294.7428</w:t>
                </w:r>
              </w:hyperlink>
            </w:r>
          </w:p>
        </w:tc>
        <w:tc>
          <w:tcPr>
            <w:tcW w:type="dxa" w:w="38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12" w:after="0"/>
              <w:ind w:left="0" w:right="6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14300" cy="139700"/>
                  <wp:docPr id="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4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0" w:after="0"/>
              <w:ind w:left="86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10709 Valley Vista Road Austin, TX  78737</w:t>
            </w:r>
          </w:p>
        </w:tc>
      </w:tr>
      <w:tr>
        <w:trPr>
          <w:trHeight w:hRule="exact" w:val="446"/>
        </w:trPr>
        <w:tc>
          <w:tcPr>
            <w:tcW w:type="dxa" w:w="1360"/>
            <w:vMerge/>
            <w:tcBorders/>
          </w:tcPr>
          <w:p/>
        </w:tc>
        <w:tc>
          <w:tcPr>
            <w:tcW w:type="dxa" w:w="30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6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139700" cy="139700"/>
                  <wp:docPr id="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840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08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11" w:history="1">
                <w:r>
                  <w:rPr>
                    <w:rStyle w:val="Hyperlink"/>
                  </w:rPr>
                  <w:t>https://www.matthewcome</w:t>
                </w:r>
              </w:hyperlink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r.c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13" w:history="1">
                <w:r>
                  <w:rPr>
                    <w:rStyle w:val="Hyperlink"/>
                  </w:rPr>
                  <w:t>om/about</w:t>
                </w:r>
              </w:hyperlink>
            </w:r>
          </w:p>
        </w:tc>
        <w:tc>
          <w:tcPr>
            <w:tcW w:type="dxa" w:w="40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6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139700" cy="139700"/>
                  <wp:docPr id="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200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08" w:after="0"/>
              <w:ind w:left="6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13" w:history="1">
                <w:r>
                  <w:rPr>
                    <w:rStyle w:val="Hyperlink"/>
                  </w:rPr>
                  <w:t>h</w:t>
                </w:r>
              </w:hyperlink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ttps://www.linkedin.com/in/matthewcomer</w:t>
            </w:r>
          </w:p>
        </w:tc>
      </w:tr>
    </w:tbl>
    <w:p>
      <w:pPr>
        <w:autoSpaceDN w:val="0"/>
        <w:autoSpaceDE w:val="0"/>
        <w:widowControl/>
        <w:spacing w:line="240" w:lineRule="auto" w:before="878" w:after="0"/>
        <w:ind w:left="908" w:right="0" w:firstLine="0"/>
        <w:jc w:val="left"/>
      </w:pPr>
      <w:r>
        <w:rPr>
          <w:rFonts w:ascii="Source Sans Pro" w:hAnsi="Source Sans Pro" w:eastAsia="Source Sans Pro"/>
          <w:b/>
          <w:i w:val="0"/>
          <w:color w:val="000000"/>
          <w:sz w:val="22"/>
        </w:rPr>
        <w:t>Portfolio</w:t>
      </w:r>
    </w:p>
    <w:p>
      <w:pPr>
        <w:autoSpaceDN w:val="0"/>
        <w:autoSpaceDE w:val="0"/>
        <w:widowControl/>
        <w:spacing w:line="245" w:lineRule="auto" w:before="294" w:after="0"/>
        <w:ind w:left="950" w:right="8208" w:hanging="42"/>
        <w:jc w:val="left"/>
      </w:pPr>
      <w:r>
        <w:rPr>
          <w:rFonts w:ascii="Source Sans Pro" w:hAnsi="Source Sans Pro" w:eastAsia="Source Sans Pro"/>
          <w:b/>
          <w:i w:val="0"/>
          <w:color w:val="000000"/>
          <w:sz w:val="22"/>
        </w:rPr>
        <w:t>Mobile Apps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17" w:history="1">
          <w:r>
            <w:rPr>
              <w:rStyle w:val="Hyperlink"/>
            </w:rPr>
            <w:t>Westgate Resorts Android App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18" w:history="1">
          <w:r>
            <w:rPr>
              <w:rStyle w:val="Hyperlink"/>
            </w:rPr>
            <w:t>Westgate Resorts iOS App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18" w:history="1">
          <w:r>
            <w:rPr>
              <w:rStyle w:val="Hyperlink"/>
            </w:rPr>
            <w:t>Blue by ADT Android App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19" w:history="1">
          <w:r>
            <w:rPr>
              <w:rStyle w:val="Hyperlink"/>
            </w:rPr>
            <w:t>Blue by ADT iOS App</w:t>
          </w:r>
        </w:hyperlink>
      </w:r>
    </w:p>
    <w:p>
      <w:pPr>
        <w:autoSpaceDN w:val="0"/>
        <w:tabs>
          <w:tab w:pos="950" w:val="left"/>
        </w:tabs>
        <w:autoSpaceDE w:val="0"/>
        <w:widowControl/>
        <w:spacing w:line="245" w:lineRule="auto" w:before="294" w:after="0"/>
        <w:ind w:left="908" w:right="9792" w:firstLine="0"/>
        <w:jc w:val="left"/>
      </w:pPr>
      <w:r>
        <w:rPr>
          <w:rFonts w:ascii="Source Sans Pro" w:hAnsi="Source Sans Pro" w:eastAsia="Source Sans Pro"/>
          <w:b/>
          <w:i w:val="0"/>
          <w:color w:val="000000"/>
          <w:sz w:val="22"/>
        </w:rPr>
        <w:t>Websites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>Teknikos, Inc.</w:t>
          </w:r>
        </w:hyperlink>
      </w:r>
    </w:p>
    <w:p>
      <w:pPr>
        <w:autoSpaceDN w:val="0"/>
        <w:autoSpaceDE w:val="0"/>
        <w:widowControl/>
        <w:spacing w:line="245" w:lineRule="auto" w:before="8" w:after="0"/>
        <w:ind w:left="950" w:right="5760" w:firstLine="308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hyperlink r:id="rId20" w:history="1">
          <w:r>
            <w:rPr>
              <w:rStyle w:val="Hyperlink"/>
            </w:rPr>
            <w:t xml:space="preserve">• 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0" w:history="1">
          <w:r>
            <w:rPr>
              <w:rStyle w:val="Hyperlink"/>
            </w:rPr>
            <w:t xml:space="preserve">Westgate 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1" w:history="1">
          <w:r>
            <w:rPr>
              <w:rStyle w:val="Hyperlink"/>
            </w:rPr>
            <w:t>Resorts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2" w:history="1">
          <w:r>
            <w:rPr>
              <w:rStyle w:val="Hyperlink"/>
            </w:rPr>
            <w:t>IBM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1" w:history="1">
          <w:r>
            <w:rPr>
              <w:rStyle w:val="Hyperlink"/>
            </w:rPr>
            <w:t xml:space="preserve"> Blogs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3" w:history="1">
          <w:r>
            <w:rPr>
              <w:rStyle w:val="Hyperlink"/>
            </w:rPr>
            <w:t>IBM Partn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3" w:history="1">
          <w:r>
            <w:rPr>
              <w:rStyle w:val="Hyperlink"/>
            </w:rPr>
            <w:t>erWorld Global Technology Services (GTS)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3" w:history="1">
          <w:r>
            <w:rPr>
              <w:rStyle w:val="Hyperlink"/>
            </w:rPr>
            <w:t>Texas Department of Human Services (DADS) Handb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4" w:history="1">
          <w:r>
            <w:rPr>
              <w:rStyle w:val="Hyperlink"/>
            </w:rPr>
            <w:t>ooks</w:t>
          </w:r>
        </w:hyperlink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</w:t>
      </w:r>
      <w:r>
        <w:rPr>
          <w:rFonts w:ascii="Source Sans Pro" w:hAnsi="Source Sans Pro" w:eastAsia="Source Sans Pro"/>
          <w:b w:val="0"/>
          <w:i w:val="0"/>
          <w:color w:val="000000"/>
          <w:sz w:val="22"/>
          <w:u w:val="single"/>
        </w:rPr>
        <w:hyperlink r:id="rId25" w:history="1">
          <w:r>
            <w:rPr>
              <w:rStyle w:val="Hyperlink"/>
            </w:rPr>
            <w:t>Millward Brown IntelliQuest TechPanel</w:t>
          </w:r>
        </w:hyperlink>
      </w:r>
    </w:p>
    <w:sectPr w:rsidR="00FC693F" w:rsidRPr="0006063C" w:rsidSect="00034616">
      <w:pgSz w:w="12240" w:h="15840"/>
      <w:pgMar w:top="0" w:right="0" w:bottom="0" w:left="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hyperlink" Target="mailto:emailme@matthewcomer.com" TargetMode="External"/><Relationship Id="rId12" Type="http://schemas.openxmlformats.org/officeDocument/2006/relationships/image" Target="media/image3.png"/><Relationship Id="rId13" Type="http://schemas.openxmlformats.org/officeDocument/2006/relationships/hyperlink" Target="tel:512.294.7428" TargetMode="External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hyperlink" Target="https://play.google.com/store/apps/details?id=westgate_xamarin.android&amp;hl=en_US" TargetMode="External"/><Relationship Id="rId18" Type="http://schemas.openxmlformats.org/officeDocument/2006/relationships/hyperlink" Target="https://apps.apple.com/us/app/westgate-resorts/id1420179204" TargetMode="External"/><Relationship Id="rId19" Type="http://schemas.openxmlformats.org/officeDocument/2006/relationships/hyperlink" Target="https://play.google.com/store/apps/details?id=com.lifeshield.phone&amp;hl=en_US" TargetMode="External"/><Relationship Id="rId20" Type="http://schemas.openxmlformats.org/officeDocument/2006/relationships/hyperlink" Target="https://teknikos.com/" TargetMode="External"/><Relationship Id="rId21" Type="http://schemas.openxmlformats.org/officeDocument/2006/relationships/hyperlink" Target="https://www.westgateresorts.com/hotels/?utm_medium=ppc&amp;utm_source=google&amp;utm_content=brand-search_wgr&amp;gad_source=1&amp;gad_campaignid=38600023&amp;gbraid=0AAAAAD-wtxmHL3eNbwHvVvpAnOLodg2Oz&amp;gclid=Cj0KCQjwlrvBBhDnARIsAHEQgOQ-fTh5khXb-JfR9msSJeScgQBhIoS4qtLKqeGmhoFF" TargetMode="External"/><Relationship Id="rId22" Type="http://schemas.openxmlformats.org/officeDocument/2006/relationships/hyperlink" Target="https://www.ibm.com/blogs" TargetMode="External"/><Relationship Id="rId23" Type="http://schemas.openxmlformats.org/officeDocument/2006/relationships/hyperlink" Target="http://www.ibm.com/partnerworld/services" TargetMode="External"/><Relationship Id="rId24" Type="http://schemas.openxmlformats.org/officeDocument/2006/relationships/hyperlink" Target="http://www.dads.state.tx.us/handbooks," TargetMode="External"/><Relationship Id="rId25" Type="http://schemas.openxmlformats.org/officeDocument/2006/relationships/hyperlink" Target="http://www.intelliques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